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75"/>
        <w:tblOverlap w:val="never"/>
        <w:tblW w:w="94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</w:tblGrid>
      <w:tr w:rsidR="000837FB" w14:paraId="7FEB894C" w14:textId="77777777" w:rsidTr="00B3013F">
        <w:trPr>
          <w:trHeight w:val="4755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23013218" w14:textId="5CDABB21" w:rsidR="000837FB" w:rsidRDefault="00FD4683">
            <w:pPr>
              <w:spacing w:before="1920" w:after="1920" w:line="256" w:lineRule="auto"/>
              <w:jc w:val="right"/>
              <w:rPr>
                <w:rFonts w:cs="Times New Roman"/>
                <w:kern w:val="2"/>
                <w:sz w:val="44"/>
              </w:rPr>
            </w:pPr>
            <w:bookmarkStart w:id="0" w:name="_Hlk142580010"/>
            <w:r>
              <w:rPr>
                <w:rFonts w:cs="Times New Roman"/>
                <w:noProof/>
                <w:kern w:val="2"/>
                <w:sz w:val="44"/>
              </w:rPr>
              <w:drawing>
                <wp:inline distT="0" distB="0" distL="0" distR="0" wp14:anchorId="1D5F8545" wp14:editId="39431072">
                  <wp:extent cx="4322445" cy="1438910"/>
                  <wp:effectExtent l="0" t="0" r="1905" b="8890"/>
                  <wp:docPr id="1540932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44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FB" w14:paraId="565A5E27" w14:textId="77777777" w:rsidTr="00B3013F">
        <w:trPr>
          <w:trHeight w:val="605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BE54" w14:textId="42EB72F1" w:rsidR="000837FB" w:rsidRDefault="000837FB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TENDER</w:t>
            </w:r>
          </w:p>
        </w:tc>
      </w:tr>
      <w:tr w:rsidR="000837FB" w14:paraId="5E4A0EA3" w14:textId="77777777" w:rsidTr="00B3013F">
        <w:trPr>
          <w:trHeight w:val="259"/>
        </w:trPr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ADC80" w14:textId="77777777" w:rsidR="000837FB" w:rsidRDefault="000837FB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0837FB" w14:paraId="29BDCFCF" w14:textId="77777777" w:rsidTr="00B3013F">
        <w:trPr>
          <w:trHeight w:val="1951"/>
        </w:trPr>
        <w:tc>
          <w:tcPr>
            <w:tcW w:w="9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71E2" w14:textId="77777777" w:rsidR="000837FB" w:rsidRDefault="000837FB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FD4683" w14:paraId="50EB153E" w14:textId="77777777" w:rsidTr="00B3013F">
        <w:trPr>
          <w:trHeight w:val="1080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F078" w14:textId="1967F95C" w:rsidR="00FD4683" w:rsidRDefault="00FD4683" w:rsidP="00FD4683">
            <w:pPr>
              <w:keepLines/>
              <w:suppressAutoHyphens/>
              <w:spacing w:before="360" w:after="360" w:line="256" w:lineRule="auto"/>
              <w:jc w:val="right"/>
              <w:rPr>
                <w:kern w:val="2"/>
                <w:sz w:val="44"/>
              </w:rPr>
            </w:pPr>
            <w:r w:rsidRPr="00F02F6E">
              <w:rPr>
                <w:color w:val="808080"/>
                <w:kern w:val="2"/>
                <w:sz w:val="28"/>
              </w:rPr>
              <w:t>Register of Prequalified Suppliers (ROPS)</w:t>
            </w:r>
            <w:r w:rsidRPr="00221DC4">
              <w:rPr>
                <w:noProof/>
              </w:rPr>
              <w:t xml:space="preserve"> </w:t>
            </w:r>
            <w:r>
              <w:rPr>
                <w:color w:val="808080"/>
                <w:kern w:val="2"/>
                <w:sz w:val="28"/>
              </w:rPr>
              <w:t xml:space="preserve">Bitumen Sealing and Associated Services </w:t>
            </w:r>
            <w:r w:rsidRPr="00F02F6E">
              <w:rPr>
                <w:color w:val="808080"/>
                <w:kern w:val="2"/>
                <w:sz w:val="28"/>
              </w:rPr>
              <w:t>202</w:t>
            </w:r>
            <w:r w:rsidR="00FE1E7F">
              <w:rPr>
                <w:color w:val="808080"/>
                <w:kern w:val="2"/>
                <w:sz w:val="28"/>
              </w:rPr>
              <w:t>5</w:t>
            </w:r>
            <w:r w:rsidRPr="00F02F6E">
              <w:rPr>
                <w:color w:val="808080"/>
                <w:kern w:val="2"/>
                <w:sz w:val="28"/>
              </w:rPr>
              <w:t xml:space="preserve"> - 202</w:t>
            </w:r>
            <w:r w:rsidR="00FE1E7F">
              <w:rPr>
                <w:color w:val="808080"/>
                <w:kern w:val="2"/>
                <w:sz w:val="28"/>
              </w:rPr>
              <w:t>6</w:t>
            </w:r>
          </w:p>
        </w:tc>
      </w:tr>
      <w:tr w:rsidR="00FD4683" w14:paraId="7E3ECAB2" w14:textId="77777777" w:rsidTr="00B3013F">
        <w:trPr>
          <w:trHeight w:val="821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C9DB" w14:textId="18FA00C6" w:rsidR="00FD4683" w:rsidRDefault="00FD4683" w:rsidP="00FD4683">
            <w:pPr>
              <w:spacing w:before="360" w:after="360" w:line="256" w:lineRule="auto"/>
              <w:jc w:val="right"/>
              <w:rPr>
                <w:kern w:val="2"/>
                <w:sz w:val="44"/>
              </w:rPr>
            </w:pPr>
            <w:r>
              <w:rPr>
                <w:color w:val="808080"/>
                <w:kern w:val="2"/>
                <w:sz w:val="28"/>
              </w:rPr>
              <w:t>CONTRACT NO</w:t>
            </w:r>
            <w:r>
              <w:rPr>
                <w:color w:val="808080"/>
                <w:kern w:val="2"/>
                <w:sz w:val="28"/>
                <w:szCs w:val="32"/>
              </w:rPr>
              <w:t xml:space="preserve">: </w:t>
            </w:r>
            <w:r w:rsidR="00F61E86" w:rsidRPr="00F61E86">
              <w:rPr>
                <w:kern w:val="2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2526.04"/>
                  </w:textInput>
                </w:ffData>
              </w:fldChar>
            </w:r>
            <w:r w:rsidR="00F61E86" w:rsidRPr="00F61E86">
              <w:rPr>
                <w:kern w:val="2"/>
                <w:sz w:val="28"/>
                <w:szCs w:val="28"/>
              </w:rPr>
              <w:instrText xml:space="preserve"> FORMTEXT </w:instrText>
            </w:r>
            <w:r w:rsidR="00F61E86" w:rsidRPr="00F61E86">
              <w:rPr>
                <w:kern w:val="2"/>
                <w:sz w:val="28"/>
                <w:szCs w:val="28"/>
              </w:rPr>
            </w:r>
            <w:r w:rsidR="00F61E86" w:rsidRPr="00F61E86">
              <w:rPr>
                <w:kern w:val="2"/>
                <w:sz w:val="28"/>
                <w:szCs w:val="28"/>
              </w:rPr>
              <w:fldChar w:fldCharType="separate"/>
            </w:r>
            <w:r w:rsidR="00F61E86" w:rsidRPr="00F61E86">
              <w:rPr>
                <w:noProof/>
                <w:kern w:val="2"/>
                <w:sz w:val="28"/>
                <w:szCs w:val="28"/>
              </w:rPr>
              <w:t>T2526.04</w:t>
            </w:r>
            <w:r w:rsidR="00F61E86" w:rsidRPr="00F61E86">
              <w:rPr>
                <w:kern w:val="2"/>
                <w:sz w:val="28"/>
                <w:szCs w:val="28"/>
              </w:rPr>
              <w:fldChar w:fldCharType="end"/>
            </w:r>
          </w:p>
        </w:tc>
      </w:tr>
      <w:bookmarkEnd w:id="0"/>
    </w:tbl>
    <w:p w14:paraId="49F2FD55" w14:textId="77777777" w:rsidR="000837FB" w:rsidRDefault="000837FB" w:rsidP="000837FB">
      <w:pPr>
        <w:rPr>
          <w:lang w:eastAsia="en-AU"/>
          <w14:ligatures w14:val="standardContextual"/>
        </w:rPr>
      </w:pPr>
    </w:p>
    <w:p w14:paraId="0DAC3DCC" w14:textId="3AFA9345" w:rsidR="00A929D3" w:rsidRPr="001C03AA" w:rsidRDefault="00A929D3" w:rsidP="001C03AA">
      <w:pPr>
        <w:sectPr w:rsidR="00A929D3" w:rsidRPr="001C03AA" w:rsidSect="00F272DD">
          <w:headerReference w:type="default" r:id="rId10"/>
          <w:footerReference w:type="default" r:id="rId11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1843"/>
        <w:gridCol w:w="1275"/>
        <w:gridCol w:w="284"/>
        <w:gridCol w:w="2268"/>
      </w:tblGrid>
      <w:tr w:rsidR="001E6C2B" w:rsidRPr="0095586B" w14:paraId="65540E69" w14:textId="77777777" w:rsidTr="003930B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9342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bookmarkStart w:id="1" w:name="_Hlk41733522"/>
            <w:r w:rsidRPr="0095586B">
              <w:rPr>
                <w:b/>
                <w:bCs/>
              </w:rPr>
              <w:lastRenderedPageBreak/>
              <w:t xml:space="preserve">PART 1 – PREAMBLE </w:t>
            </w:r>
          </w:p>
        </w:tc>
      </w:tr>
      <w:tr w:rsidR="001E6C2B" w:rsidRPr="00842756" w14:paraId="44C514AA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BE44" w14:textId="0BBB1F1D" w:rsidR="001E6C2B" w:rsidRPr="001E6C2B" w:rsidRDefault="00FD4683" w:rsidP="0095586B">
            <w:pPr>
              <w:pStyle w:val="OLTableText"/>
              <w:rPr>
                <w:bCs/>
              </w:rPr>
            </w:pPr>
            <w:r w:rsidRPr="00F02F6E">
              <w:t>Banana Shire Council</w:t>
            </w:r>
            <w:r>
              <w:t xml:space="preserve"> </w:t>
            </w:r>
            <w:r w:rsidRPr="003930BF">
              <w:t xml:space="preserve">invites tenders from suitably qualified </w:t>
            </w:r>
            <w:r>
              <w:t>tenderer</w:t>
            </w:r>
            <w:r w:rsidRPr="003930BF">
              <w:t>s for</w:t>
            </w:r>
            <w:r>
              <w:t xml:space="preserve"> Appointment as a pre-qualified supplier of bitumen seal design and spraying, supply and delivery of cover aggregate and associated traffic control for resealing and sealing of new constructed roads</w:t>
            </w:r>
            <w:r w:rsidRPr="003930BF">
              <w:t xml:space="preserve"> as described in more detail in Scope</w:t>
            </w:r>
            <w:r>
              <w:t xml:space="preserve"> and Technical Specifications</w:t>
            </w:r>
            <w:r w:rsidRPr="003930BF">
              <w:t>.</w:t>
            </w:r>
            <w:r>
              <w:t xml:space="preserve"> Prequalified supplier status will be awarded for a period of one (1) year with a possible six (6) month extension.</w:t>
            </w:r>
          </w:p>
        </w:tc>
      </w:tr>
      <w:tr w:rsidR="001E6C2B" w:rsidRPr="0095586B" w14:paraId="119AE900" w14:textId="77777777" w:rsidTr="00E1166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68F0E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r w:rsidRPr="0095586B">
              <w:rPr>
                <w:b/>
                <w:bCs/>
              </w:rPr>
              <w:t>PART 2 – GENERAL INFORMATION</w:t>
            </w:r>
          </w:p>
        </w:tc>
      </w:tr>
      <w:tr w:rsidR="001E6C2B" w:rsidRPr="00842756" w14:paraId="5764B9B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7EE96177" w14:textId="77777777" w:rsidR="001E6C2B" w:rsidRPr="00796C17" w:rsidRDefault="001E6C2B" w:rsidP="00F7667F">
            <w:pPr>
              <w:pStyle w:val="OLSchedule1"/>
            </w:pPr>
            <w:r w:rsidRPr="00796C17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5A4D0279" w14:textId="6471C382" w:rsidR="001E6C2B" w:rsidRPr="00F61E86" w:rsidRDefault="00FD4683" w:rsidP="0095586B">
            <w:pPr>
              <w:pStyle w:val="OLTableText"/>
              <w:rPr>
                <w:b/>
                <w:bCs/>
                <w:spacing w:val="-2"/>
              </w:rPr>
            </w:pPr>
            <w:r w:rsidRPr="00F61E86">
              <w:rPr>
                <w:b/>
                <w:bCs/>
                <w:noProof/>
              </w:rPr>
              <w:t>T2526.</w:t>
            </w:r>
            <w:r w:rsidR="00F61E86" w:rsidRPr="00F61E86">
              <w:rPr>
                <w:b/>
                <w:bCs/>
                <w:noProof/>
              </w:rPr>
              <w:t>04</w:t>
            </w:r>
            <w:r w:rsidRPr="00F61E86">
              <w:rPr>
                <w:b/>
                <w:bCs/>
                <w:noProof/>
              </w:rPr>
              <w:t xml:space="preserve"> Register of Prequalified Suppliers (ROPS) Bitumen Sealing and Associated Services 2025 – 2026</w:t>
            </w:r>
          </w:p>
        </w:tc>
      </w:tr>
      <w:tr w:rsidR="001E6C2B" w:rsidRPr="00842756" w14:paraId="4BD0732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E349E0E" w14:textId="5736F79E" w:rsidR="001E6C2B" w:rsidRPr="00796C17" w:rsidRDefault="001E6C2B" w:rsidP="00F7667F">
            <w:pPr>
              <w:pStyle w:val="OLSchedule1"/>
            </w:pPr>
            <w:r w:rsidRPr="00E01203">
              <w:t xml:space="preserve">Communications by </w:t>
            </w:r>
            <w:r w:rsidR="00C76606">
              <w:t>Tenderer</w:t>
            </w:r>
            <w:r w:rsidRPr="00E01203">
              <w:t>s:</w:t>
            </w:r>
          </w:p>
        </w:tc>
        <w:tc>
          <w:tcPr>
            <w:tcW w:w="8222" w:type="dxa"/>
            <w:gridSpan w:val="5"/>
          </w:tcPr>
          <w:p w14:paraId="53A0685C" w14:textId="5D999B5C" w:rsidR="001E6C2B" w:rsidRPr="00796C17" w:rsidRDefault="00FE1E7F" w:rsidP="0095586B">
            <w:pPr>
              <w:pStyle w:val="OLTableText"/>
              <w:rPr>
                <w:spacing w:val="-2"/>
              </w:rPr>
            </w:pPr>
            <w:r w:rsidRPr="00221DC4">
              <w:t xml:space="preserve">Communications regarding the Procurement Process must be submitted to </w:t>
            </w:r>
            <w:hyperlink r:id="rId12" w:history="1">
              <w:r w:rsidRPr="00221DC4">
                <w:rPr>
                  <w:rStyle w:val="Hyperlink"/>
                </w:rPr>
                <w:t>enquiries@banana.qld.gov.au</w:t>
              </w:r>
            </w:hyperlink>
            <w:r w:rsidRPr="00221DC4">
              <w:t xml:space="preserve"> no later than five (5) calendar days prior to the time stated in Item 4</w:t>
            </w:r>
          </w:p>
        </w:tc>
      </w:tr>
      <w:tr w:rsidR="001E6C2B" w:rsidRPr="00842756" w14:paraId="4964B521" w14:textId="77777777" w:rsidTr="00913C25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DD8D6F" w14:textId="77777777" w:rsidR="001E6C2B" w:rsidRPr="00796C17" w:rsidRDefault="001E6C2B" w:rsidP="00F7667F">
            <w:pPr>
              <w:pStyle w:val="OLSchedule1"/>
            </w:pPr>
            <w:r w:rsidRPr="00796C17">
              <w:t>Briefing or site inspection: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87AA00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919134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spacing w:val="-2"/>
              </w:rPr>
              <w:t>Maximum attendees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7C2B24" w14:textId="6061F7D2" w:rsidR="001E6C2B" w:rsidRPr="00796C17" w:rsidRDefault="001E6C2B" w:rsidP="0095586B">
            <w:pPr>
              <w:pStyle w:val="OLTableText"/>
              <w:rPr>
                <w:noProof/>
              </w:rPr>
            </w:pPr>
            <w:r w:rsidRPr="00E94094">
              <w:rPr>
                <w:spacing w:val="-2"/>
              </w:rPr>
              <w:t>Mandatory</w:t>
            </w:r>
            <w:r w:rsidRPr="00796C17">
              <w:rPr>
                <w:spacing w:val="-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88FE736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t xml:space="preserve">RSVP </w:t>
            </w:r>
          </w:p>
        </w:tc>
      </w:tr>
      <w:tr w:rsidR="001E6C2B" w:rsidRPr="00842756" w14:paraId="52425F32" w14:textId="77777777" w:rsidTr="00913C25">
        <w:trPr>
          <w:trHeight w:val="57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091093D5" w14:textId="77777777" w:rsidR="001E6C2B" w:rsidRPr="00796C17" w:rsidRDefault="001E6C2B" w:rsidP="00F7667F">
            <w:pPr>
              <w:pStyle w:val="OLSchedule1"/>
            </w:pPr>
          </w:p>
        </w:tc>
        <w:tc>
          <w:tcPr>
            <w:tcW w:w="2552" w:type="dxa"/>
            <w:shd w:val="clear" w:color="auto" w:fill="auto"/>
          </w:tcPr>
          <w:p w14:paraId="37D0FE03" w14:textId="79C5602F" w:rsidR="00FE1E7F" w:rsidRPr="00221DC4" w:rsidRDefault="00FE1E7F" w:rsidP="00F61E86">
            <w:pPr>
              <w:pStyle w:val="TableParagraph"/>
              <w:spacing w:line="230" w:lineRule="auto"/>
              <w:ind w:left="0" w:right="66"/>
              <w:rPr>
                <w:sz w:val="20"/>
                <w:szCs w:val="20"/>
              </w:rPr>
            </w:pPr>
            <w:r w:rsidRPr="00221DC4">
              <w:rPr>
                <w:sz w:val="20"/>
                <w:szCs w:val="20"/>
              </w:rPr>
              <w:t>Tender Briefing,</w:t>
            </w:r>
            <w:r w:rsidRPr="00221DC4">
              <w:rPr>
                <w:spacing w:val="25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to</w:t>
            </w:r>
            <w:r w:rsidRPr="00221DC4">
              <w:rPr>
                <w:spacing w:val="22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be held</w:t>
            </w:r>
            <w:r w:rsidRPr="00221DC4">
              <w:rPr>
                <w:spacing w:val="40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on</w:t>
            </w:r>
            <w:r w:rsidRPr="00221DC4">
              <w:rPr>
                <w:spacing w:val="40"/>
                <w:sz w:val="20"/>
                <w:szCs w:val="20"/>
              </w:rPr>
              <w:t xml:space="preserve"> </w:t>
            </w:r>
            <w:r w:rsidRPr="00221DC4">
              <w:rPr>
                <w:sz w:val="20"/>
                <w:szCs w:val="20"/>
              </w:rPr>
              <w:t>the</w:t>
            </w:r>
            <w:r w:rsidRPr="00221DC4">
              <w:rPr>
                <w:spacing w:val="43"/>
                <w:sz w:val="20"/>
                <w:szCs w:val="20"/>
              </w:rPr>
              <w:t xml:space="preserve"> </w:t>
            </w:r>
            <w:proofErr w:type="gramStart"/>
            <w:r w:rsidR="00F61E86">
              <w:rPr>
                <w:spacing w:val="43"/>
                <w:sz w:val="20"/>
                <w:szCs w:val="20"/>
              </w:rPr>
              <w:t>7</w:t>
            </w:r>
            <w:r w:rsidR="00F61E86" w:rsidRPr="00F61E86">
              <w:rPr>
                <w:spacing w:val="43"/>
                <w:sz w:val="20"/>
                <w:szCs w:val="20"/>
                <w:vertAlign w:val="superscript"/>
              </w:rPr>
              <w:t>th</w:t>
            </w:r>
            <w:proofErr w:type="gramEnd"/>
            <w:r w:rsidR="00F61E86">
              <w:rPr>
                <w:spacing w:val="43"/>
                <w:sz w:val="20"/>
                <w:szCs w:val="20"/>
              </w:rPr>
              <w:t xml:space="preserve"> July, at</w:t>
            </w:r>
            <w:r w:rsidRPr="00221DC4">
              <w:rPr>
                <w:sz w:val="20"/>
                <w:szCs w:val="20"/>
              </w:rPr>
              <w:t xml:space="preserve"> </w:t>
            </w:r>
            <w:r w:rsidR="00F61E86">
              <w:rPr>
                <w:sz w:val="20"/>
                <w:szCs w:val="20"/>
              </w:rPr>
              <w:t>8.00 am</w:t>
            </w:r>
          </w:p>
          <w:p w14:paraId="67AD8118" w14:textId="77777777" w:rsidR="00FE1E7F" w:rsidRDefault="00FE1E7F" w:rsidP="00FE1E7F">
            <w:pPr>
              <w:pStyle w:val="OLTableText"/>
              <w:rPr>
                <w:i/>
              </w:rPr>
            </w:pPr>
          </w:p>
          <w:p w14:paraId="5C040255" w14:textId="063E64EB" w:rsidR="001E6C2B" w:rsidRPr="00796C17" w:rsidRDefault="00FE1E7F" w:rsidP="00FE1E7F">
            <w:pPr>
              <w:pStyle w:val="OLTableText"/>
              <w:rPr>
                <w:noProof/>
              </w:rPr>
            </w:pPr>
            <w:r w:rsidRPr="00221DC4">
              <w:rPr>
                <w:i/>
              </w:rPr>
              <w:t>62 Valentines Plains</w:t>
            </w:r>
            <w:r w:rsidRPr="00221DC4">
              <w:rPr>
                <w:i/>
                <w:spacing w:val="-16"/>
              </w:rPr>
              <w:t xml:space="preserve"> </w:t>
            </w:r>
            <w:r w:rsidRPr="00221DC4">
              <w:rPr>
                <w:i/>
              </w:rPr>
              <w:t xml:space="preserve">Road, Biloela Qld </w:t>
            </w:r>
            <w:r w:rsidRPr="00221DC4">
              <w:rPr>
                <w:i/>
                <w:spacing w:val="-4"/>
              </w:rPr>
              <w:t xml:space="preserve">4715 – A </w:t>
            </w:r>
            <w:proofErr w:type="gramStart"/>
            <w:r w:rsidRPr="00221DC4">
              <w:rPr>
                <w:i/>
                <w:spacing w:val="-4"/>
              </w:rPr>
              <w:t>teams</w:t>
            </w:r>
            <w:proofErr w:type="gramEnd"/>
            <w:r w:rsidRPr="00221DC4">
              <w:rPr>
                <w:i/>
                <w:spacing w:val="-4"/>
              </w:rPr>
              <w:t xml:space="preserve"> link will be made available for those who cannot attend in person</w:t>
            </w:r>
          </w:p>
        </w:tc>
        <w:tc>
          <w:tcPr>
            <w:tcW w:w="1843" w:type="dxa"/>
            <w:shd w:val="clear" w:color="auto" w:fill="auto"/>
          </w:tcPr>
          <w:p w14:paraId="20DA5A50" w14:textId="272FFE3E" w:rsidR="001E6C2B" w:rsidRPr="00796C17" w:rsidRDefault="00FE1E7F" w:rsidP="0095586B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14:paraId="2991BB24" w14:textId="377F5F16" w:rsidR="001E6C2B" w:rsidRDefault="00556B5F" w:rsidP="0095586B">
            <w:pPr>
              <w:pStyle w:val="OLTableText"/>
            </w:pPr>
            <w:sdt>
              <w:sdtPr>
                <w:id w:val="-16030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0FDB">
              <w:t xml:space="preserve"> Yes </w:t>
            </w:r>
          </w:p>
          <w:p w14:paraId="73C763F6" w14:textId="1069C08C" w:rsidR="00650FDB" w:rsidRPr="00796C17" w:rsidRDefault="00556B5F" w:rsidP="0095586B">
            <w:pPr>
              <w:pStyle w:val="OLTableText"/>
              <w:rPr>
                <w:noProof/>
              </w:rPr>
            </w:pPr>
            <w:sdt>
              <w:sdtPr>
                <w:id w:val="-1383480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0FDB">
              <w:t xml:space="preserve"> No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52B759" w14:textId="382CD060" w:rsidR="001E6C2B" w:rsidRPr="00796C17" w:rsidRDefault="00FE1E7F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RSVP</w:t>
            </w:r>
            <w:r w:rsidRPr="00796C17">
              <w:t xml:space="preserve"> to </w:t>
            </w:r>
            <w:hyperlink r:id="rId13" w:history="1">
              <w:r w:rsidR="00E92E6D" w:rsidRPr="00485EA1">
                <w:rPr>
                  <w:rStyle w:val="Hyperlink"/>
                  <w:noProof/>
                </w:rPr>
                <w:t>tenders@banana.qld.gov.au</w:t>
              </w:r>
            </w:hyperlink>
            <w:r>
              <w:rPr>
                <w:noProof/>
              </w:rPr>
              <w:t xml:space="preserve"> by the </w:t>
            </w:r>
            <w:r w:rsidR="00F61E86">
              <w:rPr>
                <w:noProof/>
              </w:rPr>
              <w:t>4</w:t>
            </w:r>
            <w:r w:rsidR="00F61E86" w:rsidRPr="00F61E86">
              <w:rPr>
                <w:noProof/>
                <w:vertAlign w:val="superscript"/>
              </w:rPr>
              <w:t>th</w:t>
            </w:r>
            <w:r w:rsidR="00F61E86">
              <w:rPr>
                <w:noProof/>
              </w:rPr>
              <w:t xml:space="preserve"> July</w:t>
            </w:r>
            <w:r>
              <w:rPr>
                <w:noProof/>
              </w:rPr>
              <w:t xml:space="preserve"> 2025 11:00am</w:t>
            </w:r>
          </w:p>
        </w:tc>
      </w:tr>
      <w:tr w:rsidR="00FE1E7F" w:rsidRPr="00842756" w14:paraId="4D38E206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C78CC05" w14:textId="5C3B4A47" w:rsidR="00FE1E7F" w:rsidRPr="00E01203" w:rsidRDefault="00FE1E7F" w:rsidP="00FE1E7F">
            <w:pPr>
              <w:pStyle w:val="OLSchedule1"/>
            </w:pPr>
            <w:r w:rsidRPr="00796C17">
              <w:t>Submission of Tender</w:t>
            </w:r>
            <w:r>
              <w:t>:</w:t>
            </w:r>
          </w:p>
        </w:tc>
        <w:tc>
          <w:tcPr>
            <w:tcW w:w="8222" w:type="dxa"/>
            <w:gridSpan w:val="5"/>
          </w:tcPr>
          <w:p w14:paraId="25CC1BC1" w14:textId="3F78E032" w:rsidR="00FE1E7F" w:rsidRPr="00796C17" w:rsidRDefault="00FE1E7F" w:rsidP="00FE1E7F">
            <w:pPr>
              <w:pStyle w:val="OLTableText"/>
            </w:pPr>
            <w:r w:rsidRPr="00796C17">
              <w:t xml:space="preserve">Tenders must be submitted </w:t>
            </w:r>
            <w:r>
              <w:t xml:space="preserve">electronically only </w:t>
            </w:r>
            <w:r w:rsidRPr="00796C17">
              <w:t xml:space="preserve">at </w:t>
            </w:r>
            <w:hyperlink r:id="rId14" w:history="1">
              <w:r w:rsidR="00E92E6D">
                <w:rPr>
                  <w:rStyle w:val="Hyperlink"/>
                  <w:noProof/>
                </w:rPr>
                <w:t>tenders</w:t>
              </w:r>
              <w:r w:rsidR="00E92E6D" w:rsidRPr="003742B8">
                <w:rPr>
                  <w:rStyle w:val="Hyperlink"/>
                  <w:noProof/>
                </w:rPr>
                <w:t>@banana.qld.gov.au</w:t>
              </w:r>
            </w:hyperlink>
            <w:r w:rsidR="00E92E6D">
              <w:t xml:space="preserve"> </w:t>
            </w:r>
            <w:r w:rsidR="00F61E86">
              <w:rPr>
                <w:spacing w:val="-2"/>
              </w:rPr>
              <w:t xml:space="preserve">or </w:t>
            </w:r>
            <w:r w:rsidR="00F61E86" w:rsidRPr="00556B5F">
              <w:rPr>
                <w:b/>
                <w:bCs/>
                <w:spacing w:val="-2"/>
              </w:rPr>
              <w:t xml:space="preserve">VendorPanel </w:t>
            </w:r>
            <w:r w:rsidRPr="00796C17">
              <w:rPr>
                <w:spacing w:val="-2"/>
              </w:rPr>
              <w:t xml:space="preserve">by no later than </w:t>
            </w:r>
            <w:r w:rsidR="00F61E86">
              <w:rPr>
                <w:spacing w:val="-2"/>
              </w:rPr>
              <w:t>11:00 am</w:t>
            </w:r>
            <w:r>
              <w:rPr>
                <w:spacing w:val="-2"/>
              </w:rPr>
              <w:t xml:space="preserve"> </w:t>
            </w:r>
            <w:r w:rsidRPr="00796C17">
              <w:t>on</w:t>
            </w:r>
            <w:r>
              <w:t xml:space="preserve"> </w:t>
            </w:r>
            <w:r w:rsidR="00F61E86">
              <w:t>23</w:t>
            </w:r>
            <w:r w:rsidR="00F61E86" w:rsidRPr="00F61E86">
              <w:rPr>
                <w:vertAlign w:val="superscript"/>
              </w:rPr>
              <w:t>rd</w:t>
            </w:r>
            <w:r w:rsidR="00F61E86">
              <w:t xml:space="preserve"> July</w:t>
            </w:r>
            <w:r>
              <w:t xml:space="preserve"> 2025</w:t>
            </w:r>
            <w:r w:rsidRPr="00796C17">
              <w:t xml:space="preserve"> </w:t>
            </w:r>
          </w:p>
          <w:p w14:paraId="5FFECE30" w14:textId="22518931" w:rsidR="00FE1E7F" w:rsidRPr="00796C17" w:rsidRDefault="00FE1E7F" w:rsidP="00FE1E7F">
            <w:pPr>
              <w:pStyle w:val="OLTableText"/>
            </w:pPr>
            <w:r w:rsidRPr="00F272DD">
              <w:rPr>
                <w:b/>
                <w:bCs/>
                <w:i/>
                <w:sz w:val="16"/>
                <w:szCs w:val="16"/>
              </w:rPr>
              <w:t>Note//</w:t>
            </w:r>
            <w:r w:rsidRPr="00F272DD">
              <w:rPr>
                <w:i/>
                <w:sz w:val="16"/>
                <w:szCs w:val="16"/>
              </w:rPr>
              <w:t xml:space="preserve"> Adequate time must be allowed for the Tender and all supporting documents to </w:t>
            </w:r>
            <w:r>
              <w:rPr>
                <w:i/>
                <w:sz w:val="16"/>
                <w:szCs w:val="16"/>
              </w:rPr>
              <w:t xml:space="preserve">be </w:t>
            </w:r>
            <w:r w:rsidRPr="00F272DD">
              <w:rPr>
                <w:i/>
                <w:sz w:val="16"/>
                <w:szCs w:val="16"/>
              </w:rPr>
              <w:t>upload</w:t>
            </w:r>
            <w:r>
              <w:rPr>
                <w:i/>
                <w:sz w:val="16"/>
                <w:szCs w:val="16"/>
              </w:rPr>
              <w:t>ed</w:t>
            </w:r>
            <w:r w:rsidRPr="00F272DD">
              <w:rPr>
                <w:i/>
                <w:sz w:val="16"/>
                <w:szCs w:val="16"/>
              </w:rPr>
              <w:t xml:space="preserve"> or received by this time. </w:t>
            </w:r>
          </w:p>
        </w:tc>
      </w:tr>
      <w:tr w:rsidR="00FE1E7F" w:rsidRPr="00842756" w14:paraId="4510345A" w14:textId="77777777" w:rsidTr="002815C5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1A43F12D" w14:textId="480AEF14" w:rsidR="00FE1E7F" w:rsidRPr="00E01203" w:rsidRDefault="00FE1E7F" w:rsidP="00FE1E7F">
            <w:pPr>
              <w:pStyle w:val="OLSchedule1"/>
            </w:pPr>
            <w:r w:rsidRPr="00E01203">
              <w:t>Evaluation Criteria</w:t>
            </w:r>
            <w:r>
              <w:t>: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  <w:hideMark/>
          </w:tcPr>
          <w:p w14:paraId="3B87FB87" w14:textId="77777777" w:rsidR="00FE1E7F" w:rsidRPr="00796C17" w:rsidRDefault="00FE1E7F" w:rsidP="00FE1E7F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AC93C03" w14:textId="77777777" w:rsidR="00FE1E7F" w:rsidRPr="00796C17" w:rsidRDefault="00FE1E7F" w:rsidP="00FE1E7F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Weighting (%) (Optional)</w:t>
            </w:r>
          </w:p>
        </w:tc>
      </w:tr>
      <w:tr w:rsidR="00FE1E7F" w:rsidRPr="00842756" w14:paraId="5E80A442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9B544E1" w14:textId="77777777" w:rsidR="00FE1E7F" w:rsidRPr="00E01203" w:rsidRDefault="00FE1E7F" w:rsidP="00FE1E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201998" w14:textId="74471403" w:rsidR="00FE1E7F" w:rsidRPr="00796C17" w:rsidRDefault="00FE1E7F" w:rsidP="00FE1E7F">
            <w:pPr>
              <w:pStyle w:val="OLTableText"/>
            </w:pPr>
            <w:r>
              <w:rPr>
                <w:noProof/>
              </w:rPr>
              <w:t>Price</w:t>
            </w:r>
          </w:p>
        </w:tc>
        <w:tc>
          <w:tcPr>
            <w:tcW w:w="2268" w:type="dxa"/>
            <w:hideMark/>
          </w:tcPr>
          <w:p w14:paraId="1C82BC5B" w14:textId="3E6C9C3E" w:rsidR="00FE1E7F" w:rsidRPr="00796C17" w:rsidRDefault="00FE1E7F" w:rsidP="00FE1E7F">
            <w:pPr>
              <w:pStyle w:val="OLTableText"/>
            </w:pPr>
            <w:r>
              <w:rPr>
                <w:noProof/>
              </w:rPr>
              <w:t>60%</w:t>
            </w:r>
          </w:p>
        </w:tc>
      </w:tr>
      <w:tr w:rsidR="00FE1E7F" w:rsidRPr="00842756" w14:paraId="0ED1790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082A5078" w14:textId="77777777" w:rsidR="00FE1E7F" w:rsidRPr="00E01203" w:rsidRDefault="00FE1E7F" w:rsidP="00FE1E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5DD2ED" w14:textId="32812D25" w:rsidR="00FE1E7F" w:rsidRPr="00796C17" w:rsidRDefault="00FE1E7F" w:rsidP="00FE1E7F">
            <w:pPr>
              <w:pStyle w:val="OLTableText"/>
            </w:pPr>
            <w:r>
              <w:rPr>
                <w:noProof/>
              </w:rPr>
              <w:t>Equipment and Personal Avaliability</w:t>
            </w:r>
          </w:p>
        </w:tc>
        <w:tc>
          <w:tcPr>
            <w:tcW w:w="2268" w:type="dxa"/>
            <w:hideMark/>
          </w:tcPr>
          <w:p w14:paraId="5C71A4F0" w14:textId="092BB3C8" w:rsidR="00FE1E7F" w:rsidRPr="00796C17" w:rsidRDefault="00FE1E7F" w:rsidP="00FE1E7F">
            <w:pPr>
              <w:pStyle w:val="OLTableText"/>
            </w:pPr>
            <w:r>
              <w:rPr>
                <w:noProof/>
              </w:rPr>
              <w:t>10%</w:t>
            </w:r>
          </w:p>
        </w:tc>
      </w:tr>
      <w:tr w:rsidR="00FE1E7F" w:rsidRPr="00842756" w14:paraId="2F0E39F0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51D0CB0" w14:textId="77777777" w:rsidR="00FE1E7F" w:rsidRPr="00E01203" w:rsidRDefault="00FE1E7F" w:rsidP="00FE1E7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67C7B2E" w14:textId="1640FC11" w:rsidR="00FE1E7F" w:rsidRPr="00796C17" w:rsidRDefault="00FE1E7F" w:rsidP="00FE1E7F">
            <w:pPr>
              <w:pStyle w:val="OLTableText"/>
              <w:rPr>
                <w:noProof/>
              </w:rPr>
            </w:pPr>
            <w:r>
              <w:rPr>
                <w:noProof/>
              </w:rPr>
              <w:t>Previous Experience</w:t>
            </w:r>
          </w:p>
        </w:tc>
        <w:tc>
          <w:tcPr>
            <w:tcW w:w="2268" w:type="dxa"/>
          </w:tcPr>
          <w:p w14:paraId="408E52E0" w14:textId="1B171399" w:rsidR="00FE1E7F" w:rsidRPr="00796C17" w:rsidRDefault="00FE1E7F" w:rsidP="00FE1E7F">
            <w:pPr>
              <w:pStyle w:val="OLTableText"/>
              <w:rPr>
                <w:noProof/>
              </w:rPr>
            </w:pPr>
            <w:r>
              <w:rPr>
                <w:noProof/>
              </w:rPr>
              <w:t>15%</w:t>
            </w:r>
          </w:p>
        </w:tc>
      </w:tr>
      <w:tr w:rsidR="00FE1E7F" w:rsidRPr="00842756" w14:paraId="4E4BE1D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4FD16881" w14:textId="77777777" w:rsidR="00FE1E7F" w:rsidRPr="00E01203" w:rsidRDefault="00FE1E7F" w:rsidP="00FE1E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2FA2FF2C" w14:textId="7F19E759" w:rsidR="00FE1E7F" w:rsidRPr="00796C17" w:rsidRDefault="00FE1E7F" w:rsidP="00FE1E7F">
            <w:pPr>
              <w:pStyle w:val="OLTableText"/>
            </w:pPr>
            <w:r w:rsidRPr="00221DC4">
              <w:rPr>
                <w:noProof/>
              </w:rPr>
              <w:t>Quality, Environmental, Safety and Other Management Processes</w:t>
            </w:r>
          </w:p>
        </w:tc>
        <w:tc>
          <w:tcPr>
            <w:tcW w:w="2268" w:type="dxa"/>
            <w:hideMark/>
          </w:tcPr>
          <w:p w14:paraId="1B23FA74" w14:textId="3C87E819" w:rsidR="00FE1E7F" w:rsidRPr="00796C17" w:rsidRDefault="00FE1E7F" w:rsidP="00FE1E7F">
            <w:pPr>
              <w:pStyle w:val="OLTableText"/>
            </w:pPr>
            <w:r>
              <w:rPr>
                <w:noProof/>
              </w:rPr>
              <w:t>10%</w:t>
            </w:r>
          </w:p>
        </w:tc>
      </w:tr>
      <w:tr w:rsidR="00FE1E7F" w:rsidRPr="00842756" w14:paraId="2ADC3147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50241407" w14:textId="77777777" w:rsidR="00FE1E7F" w:rsidRPr="00E01203" w:rsidRDefault="00FE1E7F" w:rsidP="00FE1E7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321345A" w14:textId="5870F27B" w:rsidR="00FE1E7F" w:rsidRPr="00796C17" w:rsidRDefault="00FE1E7F" w:rsidP="00FE1E7F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Local Content</w:t>
            </w:r>
          </w:p>
        </w:tc>
        <w:tc>
          <w:tcPr>
            <w:tcW w:w="2268" w:type="dxa"/>
          </w:tcPr>
          <w:p w14:paraId="7BE21212" w14:textId="0D622363" w:rsidR="00FE1E7F" w:rsidRPr="00796C17" w:rsidRDefault="00FE1E7F" w:rsidP="00FE1E7F">
            <w:pPr>
              <w:pStyle w:val="OLTableText"/>
              <w:rPr>
                <w:noProof/>
              </w:rPr>
            </w:pPr>
            <w:r>
              <w:rPr>
                <w:noProof/>
              </w:rPr>
              <w:t>5%</w:t>
            </w:r>
          </w:p>
        </w:tc>
      </w:tr>
      <w:tr w:rsidR="00FE1E7F" w:rsidRPr="00842756" w14:paraId="3B8AF211" w14:textId="77777777" w:rsidTr="002815C5">
        <w:trPr>
          <w:trHeight w:val="388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17236AF5" w14:textId="77777777" w:rsidR="00FE1E7F" w:rsidRPr="00E01203" w:rsidRDefault="00FE1E7F" w:rsidP="00FE1E7F">
            <w:pPr>
              <w:pStyle w:val="OLSchedule1"/>
            </w:pPr>
            <w:r w:rsidRPr="00E01203">
              <w:t>Tenders should not be longer than:</w:t>
            </w:r>
          </w:p>
        </w:tc>
        <w:tc>
          <w:tcPr>
            <w:tcW w:w="8222" w:type="dxa"/>
            <w:gridSpan w:val="5"/>
            <w:hideMark/>
          </w:tcPr>
          <w:p w14:paraId="44CB04FB" w14:textId="5FCFCDCA" w:rsidR="00FE1E7F" w:rsidRPr="00796C17" w:rsidRDefault="00FE1E7F" w:rsidP="00FE1E7F">
            <w:pPr>
              <w:pStyle w:val="OLTableText"/>
            </w:pPr>
            <w:r>
              <w:t>N/A</w:t>
            </w:r>
          </w:p>
        </w:tc>
      </w:tr>
      <w:tr w:rsidR="00FE1E7F" w:rsidRPr="00842756" w14:paraId="3B77F5C7" w14:textId="77777777" w:rsidTr="002815C5">
        <w:trPr>
          <w:trHeight w:val="400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5C754AB2" w14:textId="77777777" w:rsidR="00FE1E7F" w:rsidRPr="00E01203" w:rsidRDefault="00FE1E7F" w:rsidP="00FE1E7F">
            <w:pPr>
              <w:pStyle w:val="OLSchedule1"/>
            </w:pPr>
            <w:r w:rsidRPr="00E01203">
              <w:t>Tenders to be valid for:</w:t>
            </w:r>
          </w:p>
        </w:tc>
        <w:tc>
          <w:tcPr>
            <w:tcW w:w="8222" w:type="dxa"/>
            <w:gridSpan w:val="5"/>
            <w:hideMark/>
          </w:tcPr>
          <w:p w14:paraId="1ABF644F" w14:textId="590D3DE8" w:rsidR="00FE1E7F" w:rsidRPr="00796C17" w:rsidRDefault="00FE1E7F" w:rsidP="00FE1E7F">
            <w:pPr>
              <w:pStyle w:val="OLTableText"/>
            </w:pPr>
            <w:r w:rsidRPr="00796C17">
              <w:t xml:space="preserve">90 calendar </w:t>
            </w:r>
            <w:r>
              <w:t xml:space="preserve">days </w:t>
            </w:r>
            <w:r w:rsidRPr="00796C17">
              <w:t xml:space="preserve">after the time stated in Item 4 </w:t>
            </w:r>
            <w:r>
              <w:t>(as extended if at all, pursuant to the Procurement Process Conditions)</w:t>
            </w:r>
          </w:p>
        </w:tc>
      </w:tr>
      <w:tr w:rsidR="00FE1E7F" w:rsidRPr="00842756" w14:paraId="6F156A59" w14:textId="77777777" w:rsidTr="002815C5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041CAD49" w14:textId="77777777" w:rsidR="00FE1E7F" w:rsidRPr="00E01203" w:rsidRDefault="00FE1E7F" w:rsidP="00FE1E7F">
            <w:pPr>
              <w:pStyle w:val="OLSchedule1"/>
            </w:pPr>
            <w:r w:rsidRPr="00E01203">
              <w:t>Complaints:</w:t>
            </w:r>
          </w:p>
        </w:tc>
        <w:tc>
          <w:tcPr>
            <w:tcW w:w="8222" w:type="dxa"/>
            <w:gridSpan w:val="5"/>
          </w:tcPr>
          <w:p w14:paraId="5B3082C3" w14:textId="1841C7C9" w:rsidR="00F61E86" w:rsidRPr="00796C17" w:rsidRDefault="00FE1E7F" w:rsidP="00FE1E7F">
            <w:pPr>
              <w:pStyle w:val="OLTableText"/>
            </w:pPr>
            <w:r w:rsidRPr="00796C17">
              <w:rPr>
                <w:noProof/>
              </w:rPr>
              <w:t xml:space="preserve">Complaints regarding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rocurement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rocess to be directed to: </w:t>
            </w:r>
            <w:hyperlink r:id="rId15" w:history="1">
              <w:r w:rsidRPr="003742B8">
                <w:rPr>
                  <w:rStyle w:val="Hyperlink"/>
                  <w:noProof/>
                </w:rPr>
                <w:t>enquiries@banana.qlod.gov.au</w:t>
              </w:r>
            </w:hyperlink>
          </w:p>
        </w:tc>
      </w:tr>
      <w:tr w:rsidR="00FE1E7F" w:rsidRPr="00842756" w14:paraId="77E80457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DCDAC" w14:textId="76491B3A" w:rsidR="00FE1E7F" w:rsidRPr="00796C17" w:rsidRDefault="00FE1E7F" w:rsidP="00FE1E7F">
            <w:pPr>
              <w:pStyle w:val="OLTableText"/>
              <w:rPr>
                <w:bCs/>
                <w:spacing w:val="-2"/>
              </w:rPr>
            </w:pPr>
            <w:r w:rsidRPr="00796C17">
              <w:rPr>
                <w:b/>
              </w:rPr>
              <w:t xml:space="preserve">PART 3 – </w:t>
            </w:r>
            <w:r w:rsidRPr="00E94094">
              <w:rPr>
                <w:b/>
              </w:rPr>
              <w:t>PROCUREMENT</w:t>
            </w:r>
            <w:r w:rsidRPr="00796C17">
              <w:rPr>
                <w:b/>
              </w:rPr>
              <w:t xml:space="preserve"> </w:t>
            </w:r>
            <w:r w:rsidRPr="00E94094">
              <w:rPr>
                <w:b/>
              </w:rPr>
              <w:t>PROCESS</w:t>
            </w:r>
            <w:r w:rsidRPr="00796C17">
              <w:rPr>
                <w:b/>
              </w:rPr>
              <w:t xml:space="preserve"> CONDITIONS</w:t>
            </w:r>
            <w:r>
              <w:rPr>
                <w:b/>
              </w:rPr>
              <w:t xml:space="preserve"> </w:t>
            </w:r>
          </w:p>
        </w:tc>
      </w:tr>
      <w:tr w:rsidR="00FE1E7F" w:rsidRPr="00842756" w14:paraId="2D6C2ABA" w14:textId="77777777" w:rsidTr="00CA4CC6">
        <w:trPr>
          <w:trHeight w:val="11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6BECA" w14:textId="77777777" w:rsidR="00FE1E7F" w:rsidRDefault="00FE1E7F" w:rsidP="00FE1E7F">
            <w:pPr>
              <w:pStyle w:val="OLTableText"/>
              <w:rPr>
                <w:b/>
                <w:spacing w:val="-2"/>
              </w:rPr>
            </w:pPr>
            <w:r w:rsidRPr="00F37776">
              <w:rPr>
                <w:bCs/>
                <w:spacing w:val="-2"/>
              </w:rPr>
              <w:t>The Procurement Process is governed by, and this Request for Tender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Tender and identified as</w:t>
            </w:r>
            <w:r>
              <w:rPr>
                <w:bCs/>
                <w:spacing w:val="-2"/>
              </w:rPr>
              <w:t xml:space="preserve"> </w:t>
            </w:r>
            <w:r w:rsidR="00F61E86" w:rsidRPr="00F61E86">
              <w:rPr>
                <w:b/>
                <w:spacing w:val="-2"/>
              </w:rPr>
              <w:t xml:space="preserve">T2526.04 </w:t>
            </w:r>
            <w:r w:rsidRPr="00F61E86">
              <w:rPr>
                <w:b/>
                <w:noProof/>
              </w:rPr>
              <w:t>Register of Prequalified Suppliers (ROPS) Bitumen Sealing and Associated Services</w:t>
            </w:r>
            <w:r w:rsidRPr="00F61E86">
              <w:rPr>
                <w:b/>
                <w:spacing w:val="-2"/>
              </w:rPr>
              <w:t xml:space="preserve"> 2025 – 2026 – Procurement Process Conditions</w:t>
            </w:r>
          </w:p>
          <w:p w14:paraId="4F7743AD" w14:textId="073A67D4" w:rsidR="00F61E86" w:rsidRPr="00796C17" w:rsidRDefault="00F61E86" w:rsidP="00FE1E7F">
            <w:pPr>
              <w:pStyle w:val="OLTableText"/>
              <w:rPr>
                <w:bCs/>
                <w:spacing w:val="-2"/>
              </w:rPr>
            </w:pPr>
          </w:p>
        </w:tc>
      </w:tr>
      <w:tr w:rsidR="00FE1E7F" w:rsidRPr="00237721" w14:paraId="30BF74D8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DCD72" w14:textId="4B0FF4AF" w:rsidR="00FE1E7F" w:rsidRPr="00796C17" w:rsidRDefault="00FE1E7F" w:rsidP="00FE1E7F">
            <w:pPr>
              <w:pStyle w:val="OLTableText"/>
              <w:rPr>
                <w:b/>
                <w:noProof/>
              </w:rPr>
            </w:pPr>
            <w:r w:rsidRPr="00796C17">
              <w:rPr>
                <w:b/>
              </w:rPr>
              <w:t>PART 4 – CONTRACT</w:t>
            </w:r>
            <w:r>
              <w:rPr>
                <w:b/>
              </w:rPr>
              <w:t xml:space="preserve"> </w:t>
            </w:r>
          </w:p>
        </w:tc>
      </w:tr>
      <w:tr w:rsidR="00FE1E7F" w:rsidRPr="00237721" w14:paraId="0D0438F6" w14:textId="77777777" w:rsidTr="00CA4CC6">
        <w:trPr>
          <w:trHeight w:val="8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629385" w14:textId="77777777" w:rsidR="00FE1E7F" w:rsidRDefault="00FE1E7F" w:rsidP="00FE1E7F">
            <w:pPr>
              <w:pStyle w:val="OLTableText"/>
              <w:rPr>
                <w:b/>
                <w:bCs/>
                <w:spacing w:val="-2"/>
              </w:rPr>
            </w:pPr>
            <w:r w:rsidRPr="003824E7">
              <w:t xml:space="preserve">The contract shall be substantially in the form attached to or provided with this Request for Tender and identified as </w:t>
            </w:r>
            <w:r w:rsidR="00F61E86" w:rsidRPr="00F61E86">
              <w:rPr>
                <w:b/>
                <w:bCs/>
              </w:rPr>
              <w:t xml:space="preserve">T2526.04 </w:t>
            </w:r>
            <w:r w:rsidRPr="00F61E86">
              <w:rPr>
                <w:b/>
                <w:bCs/>
                <w:noProof/>
              </w:rPr>
              <w:t xml:space="preserve">Register of Prequalified Suppliers (ROPS) Bitumen Sealing and Associated Services 2025 – 2026 </w:t>
            </w:r>
            <w:r w:rsidRPr="00F61E86">
              <w:rPr>
                <w:b/>
                <w:bCs/>
                <w:spacing w:val="-2"/>
              </w:rPr>
              <w:t>– Contract</w:t>
            </w:r>
          </w:p>
          <w:p w14:paraId="654B18D3" w14:textId="1613015A" w:rsidR="00F61E86" w:rsidRPr="00796C17" w:rsidRDefault="00F61E86" w:rsidP="00FE1E7F">
            <w:pPr>
              <w:pStyle w:val="OLTableText"/>
              <w:rPr>
                <w:noProof/>
              </w:rPr>
            </w:pPr>
          </w:p>
        </w:tc>
      </w:tr>
      <w:tr w:rsidR="00FE1E7F" w:rsidRPr="00237721" w14:paraId="77026372" w14:textId="77777777" w:rsidTr="005C2A0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9F4D4" w14:textId="2D41644C" w:rsidR="00FE1E7F" w:rsidRPr="00796C17" w:rsidRDefault="00FE1E7F" w:rsidP="00FE1E7F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lastRenderedPageBreak/>
              <w:t xml:space="preserve">PART 5 – </w:t>
            </w:r>
            <w:r w:rsidRPr="00E94094">
              <w:rPr>
                <w:b/>
              </w:rPr>
              <w:t>SCOPE</w:t>
            </w:r>
            <w:r>
              <w:rPr>
                <w:b/>
              </w:rPr>
              <w:t xml:space="preserve"> </w:t>
            </w:r>
          </w:p>
        </w:tc>
      </w:tr>
      <w:tr w:rsidR="00FE1E7F" w:rsidRPr="00237721" w14:paraId="43309DBC" w14:textId="77777777" w:rsidTr="006C6E5C">
        <w:trPr>
          <w:trHeight w:val="1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6963C" w14:textId="77777777" w:rsidR="00F61E86" w:rsidRDefault="00FE1E7F" w:rsidP="00FE1E7F">
            <w:pPr>
              <w:pStyle w:val="OLTableText"/>
              <w:rPr>
                <w:bCs/>
                <w:spacing w:val="-2"/>
              </w:rPr>
            </w:pPr>
            <w:r w:rsidRPr="00536B41">
              <w:rPr>
                <w:bCs/>
                <w:spacing w:val="-2"/>
              </w:rPr>
              <w:t xml:space="preserve">The Scope is described in the document(s) attached to or provided with this Request for Tender and identified as </w:t>
            </w:r>
          </w:p>
          <w:p w14:paraId="6C64F753" w14:textId="77777777" w:rsidR="00F61E86" w:rsidRPr="00F61E86" w:rsidRDefault="00F61E86" w:rsidP="00FE1E7F">
            <w:pPr>
              <w:pStyle w:val="OLTableText"/>
              <w:rPr>
                <w:b/>
                <w:spacing w:val="-2"/>
              </w:rPr>
            </w:pPr>
            <w:r w:rsidRPr="00F61E86">
              <w:rPr>
                <w:b/>
                <w:spacing w:val="-2"/>
              </w:rPr>
              <w:t xml:space="preserve">T2526.04 </w:t>
            </w:r>
            <w:r w:rsidR="00FE1E7F" w:rsidRPr="00F61E86">
              <w:rPr>
                <w:b/>
                <w:noProof/>
              </w:rPr>
              <w:t>Register of Prequalified Suppliers (ROPS) Bitumen Sealing and Associated Services 2025 – 2026</w:t>
            </w:r>
            <w:r w:rsidR="00FE1E7F" w:rsidRPr="00F61E86">
              <w:rPr>
                <w:b/>
                <w:spacing w:val="-2"/>
              </w:rPr>
              <w:t xml:space="preserve"> – Scope </w:t>
            </w:r>
          </w:p>
          <w:p w14:paraId="66886C22" w14:textId="77777777" w:rsidR="00FE1E7F" w:rsidRPr="00F61E86" w:rsidRDefault="00F61E86" w:rsidP="00FE1E7F">
            <w:pPr>
              <w:pStyle w:val="OLTableText"/>
              <w:rPr>
                <w:b/>
                <w:spacing w:val="-2"/>
              </w:rPr>
            </w:pPr>
            <w:r w:rsidRPr="00F61E86">
              <w:rPr>
                <w:b/>
                <w:noProof/>
              </w:rPr>
              <w:t xml:space="preserve">T2526.04 </w:t>
            </w:r>
            <w:r w:rsidR="00FE1E7F" w:rsidRPr="00F61E86">
              <w:rPr>
                <w:b/>
                <w:noProof/>
              </w:rPr>
              <w:t>Register of Prequalified Suppliers (ROPS) Bitumen Sealing and Associated Services 2025 – 2026</w:t>
            </w:r>
            <w:r w:rsidR="00FE1E7F" w:rsidRPr="00F61E86">
              <w:rPr>
                <w:b/>
                <w:spacing w:val="-2"/>
              </w:rPr>
              <w:t xml:space="preserve"> – Technical Specifications</w:t>
            </w:r>
          </w:p>
          <w:p w14:paraId="7CF74C99" w14:textId="77777777" w:rsidR="00F61E86" w:rsidRPr="00F61E86" w:rsidRDefault="00F61E86" w:rsidP="00FE1E7F">
            <w:pPr>
              <w:pStyle w:val="OLTableText"/>
              <w:rPr>
                <w:b/>
                <w:spacing w:val="-2"/>
              </w:rPr>
            </w:pPr>
            <w:r w:rsidRPr="00F61E86">
              <w:rPr>
                <w:b/>
                <w:noProof/>
              </w:rPr>
              <w:t>T2526.04 Register of Prequalified Suppliers (ROPS) Bitumen Sealing and Associated Services 2025 – 2026</w:t>
            </w:r>
            <w:r w:rsidRPr="00F61E86">
              <w:rPr>
                <w:b/>
                <w:spacing w:val="-2"/>
              </w:rPr>
              <w:t xml:space="preserve"> – General Specifications</w:t>
            </w:r>
          </w:p>
          <w:p w14:paraId="7902BC5A" w14:textId="495A23CB" w:rsidR="00F61E86" w:rsidRPr="00F61E86" w:rsidRDefault="00F61E86" w:rsidP="00FE1E7F">
            <w:pPr>
              <w:pStyle w:val="OLTableText"/>
              <w:rPr>
                <w:b/>
                <w:spacing w:val="-2"/>
              </w:rPr>
            </w:pPr>
            <w:r w:rsidRPr="00F61E86">
              <w:rPr>
                <w:b/>
                <w:noProof/>
              </w:rPr>
              <w:t>T2526.04 Register of Prequalified Suppliers (ROPS) Bitumen Sealing and Associated Services 2025 – 2026</w:t>
            </w:r>
            <w:r w:rsidRPr="00F61E86">
              <w:rPr>
                <w:b/>
                <w:spacing w:val="-2"/>
              </w:rPr>
              <w:t xml:space="preserve"> – Appendix – A – Pricing Schedule</w:t>
            </w:r>
          </w:p>
          <w:p w14:paraId="08C72026" w14:textId="77777777" w:rsidR="00F61E86" w:rsidRDefault="00F61E86" w:rsidP="00FE1E7F">
            <w:pPr>
              <w:pStyle w:val="OLTableText"/>
              <w:rPr>
                <w:b/>
                <w:spacing w:val="-2"/>
              </w:rPr>
            </w:pPr>
            <w:r w:rsidRPr="00F61E86">
              <w:rPr>
                <w:b/>
                <w:noProof/>
              </w:rPr>
              <w:t>T2526.04 Register of Prequalified Suppliers (ROPS) Bitumen Sealing and Associated Services 2025 – 2026</w:t>
            </w:r>
            <w:r w:rsidRPr="00F61E86">
              <w:rPr>
                <w:b/>
                <w:spacing w:val="-2"/>
              </w:rPr>
              <w:t xml:space="preserve"> – Appendix – B – MTRS11-1 Annexure</w:t>
            </w:r>
          </w:p>
          <w:p w14:paraId="7C076813" w14:textId="19BB845E" w:rsidR="00F61E86" w:rsidRPr="00796C17" w:rsidRDefault="00F61E86" w:rsidP="00FE1E7F">
            <w:pPr>
              <w:pStyle w:val="OLTableText"/>
              <w:rPr>
                <w:noProof/>
              </w:rPr>
            </w:pPr>
          </w:p>
        </w:tc>
      </w:tr>
      <w:tr w:rsidR="00FE1E7F" w:rsidRPr="00237721" w14:paraId="55BE1CBC" w14:textId="77777777" w:rsidTr="00BB1A0B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00073" w14:textId="77777777" w:rsidR="00FE1E7F" w:rsidRPr="00796C17" w:rsidRDefault="00FE1E7F" w:rsidP="00FE1E7F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>PART 6 – RESPONSE SCHEDULES</w:t>
            </w:r>
          </w:p>
        </w:tc>
      </w:tr>
      <w:tr w:rsidR="00FE1E7F" w:rsidRPr="00237721" w14:paraId="7E32E571" w14:textId="77777777" w:rsidTr="002A6EF5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2149" w14:textId="77777777" w:rsidR="00FE1E7F" w:rsidRDefault="00FE1E7F" w:rsidP="00FE1E7F">
            <w:pPr>
              <w:rPr>
                <w:bCs/>
                <w:spacing w:val="-2"/>
              </w:rPr>
            </w:pPr>
            <w:r w:rsidRPr="00057529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Tender must be submitted in the form provided in the response schedules attached to or </w:t>
            </w:r>
            <w:r w:rsidRPr="00057529">
              <w:rPr>
                <w:noProof/>
              </w:rPr>
              <w:t xml:space="preserve">provided </w:t>
            </w:r>
            <w:r>
              <w:rPr>
                <w:noProof/>
              </w:rPr>
              <w:t xml:space="preserve">with this Request for Tender  and identified as </w:t>
            </w:r>
            <w:r w:rsidRPr="00F61E86">
              <w:rPr>
                <w:b/>
                <w:bCs/>
                <w:noProof/>
              </w:rPr>
              <w:t>Register of Prequalified Suppliers (ROPS) Bitumen Sealing and Associated Services 2025 – 2026</w:t>
            </w:r>
            <w:r w:rsidRPr="00F61E86">
              <w:rPr>
                <w:b/>
                <w:bCs/>
                <w:spacing w:val="-2"/>
              </w:rPr>
              <w:t xml:space="preserve"> – </w:t>
            </w:r>
            <w:r w:rsidR="00F61E86" w:rsidRPr="00F61E86">
              <w:rPr>
                <w:b/>
                <w:bCs/>
                <w:spacing w:val="-2"/>
              </w:rPr>
              <w:t>Response Schedule.</w:t>
            </w:r>
          </w:p>
          <w:p w14:paraId="0034C6F0" w14:textId="77777777" w:rsidR="00F61E86" w:rsidRDefault="00F61E86" w:rsidP="00FE1E7F"/>
          <w:p w14:paraId="0416EA9B" w14:textId="4D7F0376" w:rsidR="00B3013F" w:rsidRPr="002A6EF5" w:rsidRDefault="00B3013F" w:rsidP="00FE1E7F"/>
        </w:tc>
      </w:tr>
      <w:bookmarkEnd w:id="1"/>
    </w:tbl>
    <w:p w14:paraId="34CFEE14" w14:textId="77777777" w:rsidR="002A6EF5" w:rsidRDefault="002A6EF5"/>
    <w:sectPr w:rsidR="002A6EF5" w:rsidSect="00747257">
      <w:footerReference w:type="default" r:id="rId16"/>
      <w:headerReference w:type="first" r:id="rId17"/>
      <w:footerReference w:type="first" r:id="rId18"/>
      <w:pgSz w:w="11906" w:h="16838" w:code="9"/>
      <w:pgMar w:top="964" w:right="1440" w:bottom="567" w:left="709" w:header="454" w:footer="6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C903" w14:textId="77777777" w:rsidR="00737429" w:rsidRDefault="00737429" w:rsidP="0016075A">
      <w:r>
        <w:separator/>
      </w:r>
    </w:p>
  </w:endnote>
  <w:endnote w:type="continuationSeparator" w:id="0">
    <w:p w14:paraId="72137B68" w14:textId="77777777" w:rsidR="00737429" w:rsidRDefault="00737429" w:rsidP="0016075A">
      <w:r>
        <w:continuationSeparator/>
      </w:r>
    </w:p>
  </w:endnote>
  <w:endnote w:type="continuationNotice" w:id="1">
    <w:p w14:paraId="67830F42" w14:textId="77777777" w:rsidR="00737429" w:rsidRDefault="00737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9BB5" w14:textId="50A6F4E7" w:rsidR="003F76E6" w:rsidRDefault="003F76E6" w:rsidP="00F272DD">
    <w:pPr>
      <w:pStyle w:val="Footer"/>
      <w:spacing w:line="180" w:lineRule="exact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FA95" w14:textId="35FC7B41" w:rsidR="003F76E6" w:rsidRDefault="00747257" w:rsidP="007D5EBF">
    <w:pPr>
      <w:pStyle w:val="Footer"/>
      <w:spacing w:line="180" w:lineRule="exact"/>
      <w:jc w:val="right"/>
    </w:pPr>
    <w:r>
      <w:br/>
    </w:r>
    <w:r w:rsidR="007D5EBF">
      <w:t xml:space="preserve">Page </w:t>
    </w:r>
    <w:r w:rsidR="007D5EBF">
      <w:fldChar w:fldCharType="begin"/>
    </w:r>
    <w:r w:rsidR="007D5EBF">
      <w:instrText xml:space="preserve"> PAGE   \* MERGEFORMAT </w:instrText>
    </w:r>
    <w:r w:rsidR="007D5EBF">
      <w:fldChar w:fldCharType="separate"/>
    </w:r>
    <w:r w:rsidR="007D5EBF">
      <w:rPr>
        <w:noProof/>
      </w:rPr>
      <w:t>1</w:t>
    </w:r>
    <w:r w:rsidR="007D5EB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4B6" w14:textId="77777777" w:rsidR="00F272DD" w:rsidRPr="003930BF" w:rsidRDefault="00F272D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5C1ED" w14:textId="77777777" w:rsidR="00737429" w:rsidRDefault="00737429" w:rsidP="0016075A">
      <w:r>
        <w:separator/>
      </w:r>
    </w:p>
  </w:footnote>
  <w:footnote w:type="continuationSeparator" w:id="0">
    <w:p w14:paraId="05EAB013" w14:textId="77777777" w:rsidR="00737429" w:rsidRDefault="00737429" w:rsidP="0016075A">
      <w:r>
        <w:continuationSeparator/>
      </w:r>
    </w:p>
  </w:footnote>
  <w:footnote w:type="continuationNotice" w:id="1">
    <w:p w14:paraId="757E80C6" w14:textId="77777777" w:rsidR="00737429" w:rsidRDefault="00737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8A47" w14:textId="41D3B19F" w:rsidR="00BB1A0B" w:rsidRPr="001B0510" w:rsidRDefault="00FE1E7F" w:rsidP="00FE1E7F">
    <w:pPr>
      <w:pStyle w:val="Header"/>
      <w:tabs>
        <w:tab w:val="center" w:pos="4322"/>
      </w:tabs>
      <w:ind w:left="142" w:right="-428"/>
      <w:jc w:val="right"/>
      <w:rPr>
        <w:sz w:val="24"/>
        <w:szCs w:val="22"/>
      </w:rPr>
    </w:pPr>
    <w:r>
      <w:rPr>
        <w:noProof/>
        <w:sz w:val="24"/>
        <w:szCs w:val="22"/>
      </w:rPr>
      <w:drawing>
        <wp:inline distT="0" distB="0" distL="0" distR="0" wp14:anchorId="467D929F" wp14:editId="693C1A8E">
          <wp:extent cx="384175" cy="377825"/>
          <wp:effectExtent l="0" t="0" r="0" b="3175"/>
          <wp:docPr id="7268030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27C" w14:textId="118D2AFE" w:rsidR="00BB1A0B" w:rsidRPr="003930BF" w:rsidRDefault="00BB1A0B" w:rsidP="00FE1E7F">
    <w:pPr>
      <w:pStyle w:val="OLFormTop"/>
      <w:tabs>
        <w:tab w:val="left" w:pos="8295"/>
      </w:tabs>
      <w:jc w:val="right"/>
    </w:pPr>
    <w:r w:rsidRPr="00555760">
      <w:t xml:space="preserve">Request for </w:t>
    </w:r>
    <w:r>
      <w:t>Tender</w:t>
    </w:r>
    <w:r w:rsidR="00FE1E7F">
      <w:tab/>
    </w:r>
    <w:r w:rsidR="00FE1E7F">
      <w:tab/>
    </w:r>
    <w:r w:rsidR="00FE1E7F">
      <w:rPr>
        <w:noProof/>
      </w:rPr>
      <w:drawing>
        <wp:inline distT="0" distB="0" distL="0" distR="0" wp14:anchorId="33D524A0" wp14:editId="185043B0">
          <wp:extent cx="384175" cy="377825"/>
          <wp:effectExtent l="0" t="0" r="0" b="3175"/>
          <wp:docPr id="1417405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6867825">
    <w:abstractNumId w:val="1"/>
  </w:num>
  <w:num w:numId="2" w16cid:durableId="1157653918">
    <w:abstractNumId w:val="3"/>
  </w:num>
  <w:num w:numId="3" w16cid:durableId="1880430304">
    <w:abstractNumId w:val="7"/>
  </w:num>
  <w:num w:numId="4" w16cid:durableId="864632519">
    <w:abstractNumId w:val="8"/>
  </w:num>
  <w:num w:numId="5" w16cid:durableId="205290168">
    <w:abstractNumId w:val="11"/>
  </w:num>
  <w:num w:numId="6" w16cid:durableId="678121993">
    <w:abstractNumId w:val="4"/>
  </w:num>
  <w:num w:numId="7" w16cid:durableId="1236084595">
    <w:abstractNumId w:val="5"/>
  </w:num>
  <w:num w:numId="8" w16cid:durableId="816189055">
    <w:abstractNumId w:val="6"/>
  </w:num>
  <w:num w:numId="9" w16cid:durableId="1248342328">
    <w:abstractNumId w:val="2"/>
  </w:num>
  <w:num w:numId="10" w16cid:durableId="2019039101">
    <w:abstractNumId w:val="9"/>
  </w:num>
  <w:num w:numId="11" w16cid:durableId="1443650312">
    <w:abstractNumId w:val="12"/>
  </w:num>
  <w:num w:numId="12" w16cid:durableId="1193032491">
    <w:abstractNumId w:val="1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149c08fb-2f19-4732-920f-54916b51d765"/>
    <w:docVar w:name="ndGeneratedStamp" w:val="3458-5540-2512, v. 1"/>
    <w:docVar w:name="ndGeneratedStampLocation" w:val="ExceptFirst"/>
  </w:docVars>
  <w:rsids>
    <w:rsidRoot w:val="0016075A"/>
    <w:rsid w:val="00012589"/>
    <w:rsid w:val="00032FD7"/>
    <w:rsid w:val="000412C0"/>
    <w:rsid w:val="00045076"/>
    <w:rsid w:val="00055C7F"/>
    <w:rsid w:val="00057529"/>
    <w:rsid w:val="00080045"/>
    <w:rsid w:val="000837FB"/>
    <w:rsid w:val="000918DC"/>
    <w:rsid w:val="000E6FA8"/>
    <w:rsid w:val="00127B7A"/>
    <w:rsid w:val="00127E95"/>
    <w:rsid w:val="00132BEF"/>
    <w:rsid w:val="0014433B"/>
    <w:rsid w:val="00145A27"/>
    <w:rsid w:val="0016075A"/>
    <w:rsid w:val="0018571D"/>
    <w:rsid w:val="001A0D4F"/>
    <w:rsid w:val="001A1841"/>
    <w:rsid w:val="001C03AA"/>
    <w:rsid w:val="001D0895"/>
    <w:rsid w:val="001D7ABB"/>
    <w:rsid w:val="001E6107"/>
    <w:rsid w:val="001E6C2B"/>
    <w:rsid w:val="00221C82"/>
    <w:rsid w:val="00235E5D"/>
    <w:rsid w:val="00237721"/>
    <w:rsid w:val="0026069C"/>
    <w:rsid w:val="0026388B"/>
    <w:rsid w:val="00275E6A"/>
    <w:rsid w:val="002815C5"/>
    <w:rsid w:val="00291ED0"/>
    <w:rsid w:val="002920BC"/>
    <w:rsid w:val="002A24B2"/>
    <w:rsid w:val="002A6EF5"/>
    <w:rsid w:val="002B194F"/>
    <w:rsid w:val="002B2C64"/>
    <w:rsid w:val="002E693F"/>
    <w:rsid w:val="002E7AAC"/>
    <w:rsid w:val="0030219C"/>
    <w:rsid w:val="003165E0"/>
    <w:rsid w:val="00326FA1"/>
    <w:rsid w:val="00337117"/>
    <w:rsid w:val="00342272"/>
    <w:rsid w:val="00360780"/>
    <w:rsid w:val="0036674A"/>
    <w:rsid w:val="0037397E"/>
    <w:rsid w:val="003930BF"/>
    <w:rsid w:val="003A18A1"/>
    <w:rsid w:val="003B3058"/>
    <w:rsid w:val="003B4104"/>
    <w:rsid w:val="003F76E6"/>
    <w:rsid w:val="00401F13"/>
    <w:rsid w:val="00402C86"/>
    <w:rsid w:val="004224D1"/>
    <w:rsid w:val="00427549"/>
    <w:rsid w:val="00431D6E"/>
    <w:rsid w:val="0044429B"/>
    <w:rsid w:val="00446B18"/>
    <w:rsid w:val="00464C11"/>
    <w:rsid w:val="004821D0"/>
    <w:rsid w:val="00497F5F"/>
    <w:rsid w:val="004C153B"/>
    <w:rsid w:val="004D2047"/>
    <w:rsid w:val="004E48A6"/>
    <w:rsid w:val="00505905"/>
    <w:rsid w:val="00545C13"/>
    <w:rsid w:val="0054637A"/>
    <w:rsid w:val="00555760"/>
    <w:rsid w:val="00556B5F"/>
    <w:rsid w:val="0056290E"/>
    <w:rsid w:val="00574E93"/>
    <w:rsid w:val="005A16C5"/>
    <w:rsid w:val="005A1990"/>
    <w:rsid w:val="005B3425"/>
    <w:rsid w:val="005B49B0"/>
    <w:rsid w:val="005C2A0F"/>
    <w:rsid w:val="005D2624"/>
    <w:rsid w:val="005E0342"/>
    <w:rsid w:val="005E0F09"/>
    <w:rsid w:val="005E77A1"/>
    <w:rsid w:val="00624A22"/>
    <w:rsid w:val="00624C2B"/>
    <w:rsid w:val="00633E54"/>
    <w:rsid w:val="0063564F"/>
    <w:rsid w:val="00650FDB"/>
    <w:rsid w:val="006611A4"/>
    <w:rsid w:val="00665D72"/>
    <w:rsid w:val="00667111"/>
    <w:rsid w:val="00673AA4"/>
    <w:rsid w:val="00697D51"/>
    <w:rsid w:val="006A6350"/>
    <w:rsid w:val="006A695C"/>
    <w:rsid w:val="006A7C89"/>
    <w:rsid w:val="006B1F97"/>
    <w:rsid w:val="006C5DC2"/>
    <w:rsid w:val="006D4FED"/>
    <w:rsid w:val="006F3E93"/>
    <w:rsid w:val="006F4CBC"/>
    <w:rsid w:val="0073591C"/>
    <w:rsid w:val="00737429"/>
    <w:rsid w:val="00747257"/>
    <w:rsid w:val="007624FE"/>
    <w:rsid w:val="00765424"/>
    <w:rsid w:val="00767699"/>
    <w:rsid w:val="007A29AA"/>
    <w:rsid w:val="007A76C4"/>
    <w:rsid w:val="007B4921"/>
    <w:rsid w:val="007B6691"/>
    <w:rsid w:val="007C066B"/>
    <w:rsid w:val="007C6D0E"/>
    <w:rsid w:val="007D5EBF"/>
    <w:rsid w:val="007E62CD"/>
    <w:rsid w:val="007E7651"/>
    <w:rsid w:val="007F6860"/>
    <w:rsid w:val="007F6BD6"/>
    <w:rsid w:val="00802032"/>
    <w:rsid w:val="00841691"/>
    <w:rsid w:val="00863207"/>
    <w:rsid w:val="00867AFF"/>
    <w:rsid w:val="00872FC6"/>
    <w:rsid w:val="0087431F"/>
    <w:rsid w:val="008B5BE9"/>
    <w:rsid w:val="008B6537"/>
    <w:rsid w:val="008C558C"/>
    <w:rsid w:val="008D2A49"/>
    <w:rsid w:val="008D6C67"/>
    <w:rsid w:val="008E34DF"/>
    <w:rsid w:val="008F0C14"/>
    <w:rsid w:val="008F111E"/>
    <w:rsid w:val="008F3976"/>
    <w:rsid w:val="0090699B"/>
    <w:rsid w:val="00910040"/>
    <w:rsid w:val="009122D0"/>
    <w:rsid w:val="00913C25"/>
    <w:rsid w:val="00916460"/>
    <w:rsid w:val="00930A27"/>
    <w:rsid w:val="009435B8"/>
    <w:rsid w:val="00943A5C"/>
    <w:rsid w:val="0095586B"/>
    <w:rsid w:val="00957CE8"/>
    <w:rsid w:val="00965708"/>
    <w:rsid w:val="00971FC3"/>
    <w:rsid w:val="00976B9E"/>
    <w:rsid w:val="00976CFE"/>
    <w:rsid w:val="009816C3"/>
    <w:rsid w:val="009B5106"/>
    <w:rsid w:val="009C6A95"/>
    <w:rsid w:val="009F03B0"/>
    <w:rsid w:val="009F70CB"/>
    <w:rsid w:val="00A04B46"/>
    <w:rsid w:val="00A07556"/>
    <w:rsid w:val="00A13842"/>
    <w:rsid w:val="00A2630E"/>
    <w:rsid w:val="00A311B8"/>
    <w:rsid w:val="00A337A7"/>
    <w:rsid w:val="00A50696"/>
    <w:rsid w:val="00A620F1"/>
    <w:rsid w:val="00A73929"/>
    <w:rsid w:val="00A74148"/>
    <w:rsid w:val="00A80E9B"/>
    <w:rsid w:val="00A8286B"/>
    <w:rsid w:val="00A929D3"/>
    <w:rsid w:val="00AB5D79"/>
    <w:rsid w:val="00AB77F1"/>
    <w:rsid w:val="00AC2854"/>
    <w:rsid w:val="00AC7EFB"/>
    <w:rsid w:val="00AD6375"/>
    <w:rsid w:val="00B27FEE"/>
    <w:rsid w:val="00B3013F"/>
    <w:rsid w:val="00B4597B"/>
    <w:rsid w:val="00B541F0"/>
    <w:rsid w:val="00B71C8B"/>
    <w:rsid w:val="00B76BEB"/>
    <w:rsid w:val="00B91BFF"/>
    <w:rsid w:val="00BA55C8"/>
    <w:rsid w:val="00BB1A0B"/>
    <w:rsid w:val="00BB4E50"/>
    <w:rsid w:val="00BC2191"/>
    <w:rsid w:val="00BC36DA"/>
    <w:rsid w:val="00BC6405"/>
    <w:rsid w:val="00BD5F52"/>
    <w:rsid w:val="00BD60B8"/>
    <w:rsid w:val="00BE4F05"/>
    <w:rsid w:val="00BF0C3B"/>
    <w:rsid w:val="00BF60DE"/>
    <w:rsid w:val="00C1168E"/>
    <w:rsid w:val="00C16141"/>
    <w:rsid w:val="00C17428"/>
    <w:rsid w:val="00C22FA8"/>
    <w:rsid w:val="00C42891"/>
    <w:rsid w:val="00C54ECF"/>
    <w:rsid w:val="00C73240"/>
    <w:rsid w:val="00C76606"/>
    <w:rsid w:val="00C925C5"/>
    <w:rsid w:val="00C94F3A"/>
    <w:rsid w:val="00CA4CC6"/>
    <w:rsid w:val="00CB4241"/>
    <w:rsid w:val="00CD0D14"/>
    <w:rsid w:val="00D010EE"/>
    <w:rsid w:val="00D04697"/>
    <w:rsid w:val="00D1782C"/>
    <w:rsid w:val="00D26A8B"/>
    <w:rsid w:val="00D451AB"/>
    <w:rsid w:val="00D51E42"/>
    <w:rsid w:val="00D6168A"/>
    <w:rsid w:val="00D63875"/>
    <w:rsid w:val="00D63F92"/>
    <w:rsid w:val="00D87D08"/>
    <w:rsid w:val="00D947F4"/>
    <w:rsid w:val="00DB71A6"/>
    <w:rsid w:val="00E01203"/>
    <w:rsid w:val="00E1166A"/>
    <w:rsid w:val="00E302BB"/>
    <w:rsid w:val="00E329C0"/>
    <w:rsid w:val="00E331D0"/>
    <w:rsid w:val="00E727C1"/>
    <w:rsid w:val="00E76A88"/>
    <w:rsid w:val="00E919EF"/>
    <w:rsid w:val="00E92E6D"/>
    <w:rsid w:val="00E94094"/>
    <w:rsid w:val="00ED56A9"/>
    <w:rsid w:val="00EF44FE"/>
    <w:rsid w:val="00F03661"/>
    <w:rsid w:val="00F167B9"/>
    <w:rsid w:val="00F272DD"/>
    <w:rsid w:val="00F4671F"/>
    <w:rsid w:val="00F57AD8"/>
    <w:rsid w:val="00F61E86"/>
    <w:rsid w:val="00F700F7"/>
    <w:rsid w:val="00F7667F"/>
    <w:rsid w:val="00F86C66"/>
    <w:rsid w:val="00F87475"/>
    <w:rsid w:val="00F92A19"/>
    <w:rsid w:val="00FB1B2E"/>
    <w:rsid w:val="00FC4DC2"/>
    <w:rsid w:val="00FD4683"/>
    <w:rsid w:val="00FD5BB8"/>
    <w:rsid w:val="00FE0CD9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FC429"/>
  <w15:chartTrackingRefBased/>
  <w15:docId w15:val="{C9FAB0D2-40B1-4BDA-95AD-30426D1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7D5E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7D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7D5EBF"/>
    <w:pPr>
      <w:keepNext/>
      <w:numPr>
        <w:numId w:val="3"/>
      </w:numPr>
    </w:pPr>
    <w:rPr>
      <w:b/>
      <w:bCs/>
    </w:rPr>
  </w:style>
  <w:style w:type="paragraph" w:customStyle="1" w:styleId="OLNumber1">
    <w:name w:val="OL_Number1"/>
    <w:basedOn w:val="OLNormal"/>
    <w:qFormat/>
    <w:rsid w:val="007D5EBF"/>
    <w:pPr>
      <w:numPr>
        <w:ilvl w:val="1"/>
        <w:numId w:val="3"/>
      </w:numPr>
    </w:pPr>
  </w:style>
  <w:style w:type="paragraph" w:customStyle="1" w:styleId="OLNumber2">
    <w:name w:val="OL_Number2"/>
    <w:basedOn w:val="OLNormal"/>
    <w:qFormat/>
    <w:rsid w:val="007D5EBF"/>
    <w:pPr>
      <w:numPr>
        <w:ilvl w:val="2"/>
        <w:numId w:val="3"/>
      </w:numPr>
    </w:pPr>
  </w:style>
  <w:style w:type="paragraph" w:customStyle="1" w:styleId="OLNumber3">
    <w:name w:val="OL_Number3"/>
    <w:basedOn w:val="OLNormal"/>
    <w:qFormat/>
    <w:rsid w:val="007D5EBF"/>
    <w:pPr>
      <w:numPr>
        <w:ilvl w:val="3"/>
        <w:numId w:val="3"/>
      </w:numPr>
    </w:pPr>
  </w:style>
  <w:style w:type="paragraph" w:customStyle="1" w:styleId="OLNumber4">
    <w:name w:val="OL_Number4"/>
    <w:basedOn w:val="OLNormal"/>
    <w:qFormat/>
    <w:rsid w:val="007D5EBF"/>
    <w:pPr>
      <w:numPr>
        <w:ilvl w:val="4"/>
        <w:numId w:val="3"/>
      </w:numPr>
    </w:pPr>
  </w:style>
  <w:style w:type="paragraph" w:customStyle="1" w:styleId="OLNumber5">
    <w:name w:val="OL_Number5"/>
    <w:basedOn w:val="OLNormal"/>
    <w:qFormat/>
    <w:rsid w:val="007D5EBF"/>
    <w:pPr>
      <w:numPr>
        <w:ilvl w:val="5"/>
        <w:numId w:val="3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  <w:sz w:val="22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  <w:sz w:val="22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  <w:sz w:val="22"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 w:val="22"/>
      <w:szCs w:val="24"/>
    </w:rPr>
  </w:style>
  <w:style w:type="paragraph" w:styleId="ListParagraph">
    <w:name w:val="List Paragraph"/>
    <w:basedOn w:val="Normal"/>
    <w:uiPriority w:val="34"/>
    <w:rsid w:val="007D5EBF"/>
    <w:pPr>
      <w:ind w:left="720"/>
      <w:contextualSpacing/>
    </w:pPr>
  </w:style>
  <w:style w:type="paragraph" w:customStyle="1" w:styleId="OLBodyText">
    <w:name w:val="OL_BodyText"/>
    <w:basedOn w:val="OLNormal"/>
    <w:qFormat/>
    <w:rsid w:val="007D5EBF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4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2B"/>
    <w:rPr>
      <w:color w:val="605E5C"/>
      <w:shd w:val="clear" w:color="auto" w:fill="E1DFDD"/>
    </w:rPr>
  </w:style>
  <w:style w:type="character" w:customStyle="1" w:styleId="Heading1Char">
    <w:name w:val="Heading 1 Char"/>
    <w:aliases w:val="HL Char"/>
    <w:basedOn w:val="DefaultParagraphFont"/>
    <w:link w:val="Heading1"/>
    <w:rsid w:val="007D5EBF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7D5EBF"/>
    <w:pPr>
      <w:numPr>
        <w:numId w:val="4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7D5EBF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7D5EBF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7D5EBF"/>
    <w:pPr>
      <w:numPr>
        <w:numId w:val="5"/>
      </w:numPr>
    </w:pPr>
    <w:rPr>
      <w:szCs w:val="24"/>
    </w:rPr>
  </w:style>
  <w:style w:type="paragraph" w:customStyle="1" w:styleId="OLBullet2">
    <w:name w:val="OL_Bullet2"/>
    <w:basedOn w:val="OLNormal"/>
    <w:qFormat/>
    <w:rsid w:val="007D5EBF"/>
    <w:pPr>
      <w:numPr>
        <w:numId w:val="6"/>
      </w:numPr>
    </w:pPr>
    <w:rPr>
      <w:szCs w:val="24"/>
    </w:rPr>
  </w:style>
  <w:style w:type="paragraph" w:customStyle="1" w:styleId="OLListPara">
    <w:name w:val="OL_ListPara"/>
    <w:basedOn w:val="Normal"/>
    <w:rsid w:val="007D5EBF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7D5EBF"/>
    <w:pPr>
      <w:spacing w:after="240"/>
    </w:pPr>
  </w:style>
  <w:style w:type="paragraph" w:customStyle="1" w:styleId="OLNumber0NoNum">
    <w:name w:val="OL_Number0_NoNum"/>
    <w:basedOn w:val="OLNumber0"/>
    <w:next w:val="OLNumber1"/>
    <w:rsid w:val="007D5EBF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7D5EBF"/>
    <w:pPr>
      <w:ind w:left="709"/>
    </w:pPr>
  </w:style>
  <w:style w:type="paragraph" w:customStyle="1" w:styleId="OLIndent2">
    <w:name w:val="OL_Indent2"/>
    <w:basedOn w:val="OLNormal"/>
    <w:qFormat/>
    <w:rsid w:val="007D5EBF"/>
    <w:pPr>
      <w:ind w:left="1418"/>
    </w:pPr>
  </w:style>
  <w:style w:type="paragraph" w:customStyle="1" w:styleId="OLIndent3">
    <w:name w:val="OL_Indent3"/>
    <w:basedOn w:val="OLNormal"/>
    <w:qFormat/>
    <w:rsid w:val="007D5EBF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7D5EBF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7D5EBF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7D5EBF"/>
    <w:pPr>
      <w:keepNext/>
    </w:pPr>
    <w:rPr>
      <w:b/>
    </w:rPr>
  </w:style>
  <w:style w:type="paragraph" w:customStyle="1" w:styleId="OLQuote">
    <w:name w:val="OL_Quote"/>
    <w:basedOn w:val="OLNormal"/>
    <w:qFormat/>
    <w:rsid w:val="007D5EBF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7D5EBF"/>
    <w:pPr>
      <w:pageBreakBefore/>
      <w:widowControl w:val="0"/>
      <w:numPr>
        <w:numId w:val="7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7D5EBF"/>
    <w:pPr>
      <w:widowControl w:val="0"/>
      <w:numPr>
        <w:numId w:val="8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7D5EBF"/>
    <w:pPr>
      <w:widowControl w:val="0"/>
      <w:numPr>
        <w:ilvl w:val="1"/>
        <w:numId w:val="8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7D5EBF"/>
    <w:pPr>
      <w:widowControl w:val="0"/>
      <w:numPr>
        <w:ilvl w:val="2"/>
        <w:numId w:val="8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7D5EBF"/>
    <w:pPr>
      <w:numPr>
        <w:numId w:val="12"/>
      </w:numPr>
    </w:pPr>
  </w:style>
  <w:style w:type="paragraph" w:customStyle="1" w:styleId="OLBullet4">
    <w:name w:val="OL_Bullet4"/>
    <w:basedOn w:val="OLNormal"/>
    <w:qFormat/>
    <w:rsid w:val="007D5EBF"/>
    <w:pPr>
      <w:numPr>
        <w:numId w:val="9"/>
      </w:numPr>
    </w:pPr>
  </w:style>
  <w:style w:type="paragraph" w:customStyle="1" w:styleId="OLBullet5">
    <w:name w:val="OL_Bullet5"/>
    <w:basedOn w:val="OLNormal"/>
    <w:rsid w:val="007D5EBF"/>
    <w:pPr>
      <w:numPr>
        <w:numId w:val="10"/>
      </w:numPr>
    </w:pPr>
  </w:style>
  <w:style w:type="paragraph" w:customStyle="1" w:styleId="OLSchedule0Heading">
    <w:name w:val="OL_Schedule0_Heading"/>
    <w:basedOn w:val="OLNormal"/>
    <w:next w:val="OLBodyText"/>
    <w:qFormat/>
    <w:rsid w:val="007D5EBF"/>
    <w:pPr>
      <w:keepNext/>
      <w:pageBreakBefore/>
      <w:widowControl w:val="0"/>
      <w:numPr>
        <w:numId w:val="11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F7667F"/>
    <w:pPr>
      <w:keepNext/>
      <w:widowControl w:val="0"/>
      <w:numPr>
        <w:ilvl w:val="1"/>
        <w:numId w:val="11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7D5EBF"/>
    <w:pPr>
      <w:widowControl w:val="0"/>
      <w:numPr>
        <w:ilvl w:val="2"/>
        <w:numId w:val="11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7D5EBF"/>
    <w:pPr>
      <w:widowControl w:val="0"/>
      <w:numPr>
        <w:ilvl w:val="3"/>
        <w:numId w:val="11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7D5EBF"/>
    <w:pPr>
      <w:numPr>
        <w:ilvl w:val="4"/>
        <w:numId w:val="11"/>
      </w:numPr>
    </w:pPr>
  </w:style>
  <w:style w:type="paragraph" w:customStyle="1" w:styleId="OLNumber1BU">
    <w:name w:val="OL_Number1BU"/>
    <w:basedOn w:val="OLNumber1B"/>
    <w:next w:val="OLNumber2"/>
    <w:qFormat/>
    <w:rsid w:val="007D5EBF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7D5EBF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7D5EBF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95586B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7D5EBF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7D5EBF"/>
    <w:rPr>
      <w:sz w:val="32"/>
    </w:rPr>
  </w:style>
  <w:style w:type="paragraph" w:customStyle="1" w:styleId="OLNormal0">
    <w:name w:val="OL_Normal0"/>
    <w:basedOn w:val="OLNormal"/>
    <w:rsid w:val="007D5EBF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FE1E7F"/>
    <w:pPr>
      <w:widowControl w:val="0"/>
      <w:autoSpaceDE w:val="0"/>
      <w:autoSpaceDN w:val="0"/>
      <w:ind w:left="112"/>
      <w:jc w:val="left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s@banana.qld.gov.au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quiries@banana.qld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nquiries@banana.qlod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nquirie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A440-588C-4444-8862-BA8DF5E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552</Words>
  <Characters>3493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Legal</dc:creator>
  <cp:keywords/>
  <dc:description/>
  <cp:lastModifiedBy>Sajib Barua</cp:lastModifiedBy>
  <cp:revision>6</cp:revision>
  <cp:lastPrinted>2020-05-30T03:46:00Z</cp:lastPrinted>
  <dcterms:created xsi:type="dcterms:W3CDTF">2025-03-31T01:18:00Z</dcterms:created>
  <dcterms:modified xsi:type="dcterms:W3CDTF">2025-06-25T00:47:00Z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af946e6a-da44-4bf4-af73-eaebe65d50f5</vt:lpwstr>
  </property>
</Properties>
</file>